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before="0" w:beforeAutospacing="0" w:after="0" w:afterAutospacing="0"/>
        <w:jc w:val="center"/>
        <w:rPr>
          <w:rStyle w:val="7"/>
          <w:rFonts w:ascii="方正小标宋简体" w:hAnsi="方正小标宋简体" w:eastAsia="方正小标宋简体"/>
          <w:b w:val="0"/>
          <w:bCs w:val="0"/>
          <w:sz w:val="44"/>
          <w:szCs w:val="44"/>
        </w:rPr>
      </w:pPr>
      <w:r>
        <w:rPr>
          <w:rStyle w:val="7"/>
          <w:rFonts w:hint="eastAsia" w:ascii="方正小标宋简体" w:hAnsi="方正小标宋简体" w:eastAsia="方正小标宋简体"/>
          <w:b w:val="0"/>
          <w:bCs w:val="0"/>
          <w:sz w:val="44"/>
          <w:szCs w:val="44"/>
        </w:rPr>
        <w:t>海南省三亚技师学院就业补助资金项目</w:t>
      </w:r>
    </w:p>
    <w:p>
      <w:pPr>
        <w:pStyle w:val="4"/>
        <w:snapToGrid w:val="0"/>
        <w:spacing w:before="0" w:beforeAutospacing="0" w:after="480" w:afterLines="200" w:afterAutospacing="0"/>
        <w:jc w:val="center"/>
        <w:rPr>
          <w:rStyle w:val="7"/>
          <w:rFonts w:ascii="方正小标宋简体" w:hAnsi="方正小标宋简体" w:eastAsia="方正小标宋简体"/>
          <w:b w:val="0"/>
          <w:bCs w:val="0"/>
          <w:sz w:val="44"/>
          <w:szCs w:val="44"/>
        </w:rPr>
      </w:pPr>
      <w:r>
        <w:rPr>
          <w:rStyle w:val="7"/>
          <w:rFonts w:hint="eastAsia" w:ascii="方正小标宋简体" w:hAnsi="方正小标宋简体" w:eastAsia="方正小标宋简体"/>
          <w:b w:val="0"/>
          <w:bCs w:val="0"/>
          <w:sz w:val="44"/>
          <w:szCs w:val="44"/>
        </w:rPr>
        <w:t xml:space="preserve">支出绩效自评报告 </w:t>
      </w:r>
    </w:p>
    <w:p>
      <w:pPr>
        <w:pStyle w:val="4"/>
        <w:adjustRightInd w:val="0"/>
        <w:snapToGrid w:val="0"/>
        <w:spacing w:before="0" w:beforeAutospacing="0" w:after="0" w:afterAutospacing="0" w:line="560" w:lineRule="exact"/>
        <w:ind w:firstLine="640" w:firstLineChars="200"/>
        <w:rPr>
          <w:rFonts w:hint="eastAsia" w:ascii="黑体" w:hAnsi="黑体" w:eastAsia="黑体"/>
          <w:sz w:val="32"/>
          <w:szCs w:val="32"/>
        </w:rPr>
      </w:pPr>
      <w:r>
        <w:rPr>
          <w:rFonts w:hint="eastAsia" w:ascii="黑体" w:hAnsi="黑体" w:eastAsia="黑体"/>
          <w:sz w:val="32"/>
          <w:szCs w:val="32"/>
        </w:rPr>
        <w:t>一、项目概况</w:t>
      </w:r>
    </w:p>
    <w:p>
      <w:pPr>
        <w:pStyle w:val="4"/>
        <w:adjustRightInd w:val="0"/>
        <w:snapToGrid w:val="0"/>
        <w:spacing w:before="0" w:beforeAutospacing="0" w:after="0" w:afterAutospacing="0" w:line="560" w:lineRule="exact"/>
        <w:ind w:firstLine="640" w:firstLineChars="200"/>
        <w:rPr>
          <w:rFonts w:hint="eastAsia" w:ascii="楷体" w:hAnsi="楷体" w:eastAsia="楷体"/>
          <w:sz w:val="32"/>
          <w:szCs w:val="32"/>
        </w:rPr>
      </w:pPr>
      <w:r>
        <w:rPr>
          <w:rFonts w:hint="eastAsia" w:ascii="楷体" w:hAnsi="楷体" w:eastAsia="楷体"/>
          <w:sz w:val="32"/>
          <w:szCs w:val="32"/>
        </w:rPr>
        <w:t>（一）项目基本情况</w:t>
      </w:r>
    </w:p>
    <w:p>
      <w:pPr>
        <w:pStyle w:val="4"/>
        <w:adjustRightInd w:val="0"/>
        <w:snapToGrid w:val="0"/>
        <w:spacing w:before="0" w:beforeAutospacing="0" w:after="0" w:afterAutospacing="0" w:line="560" w:lineRule="exact"/>
        <w:ind w:firstLine="640" w:firstLineChars="200"/>
        <w:rPr>
          <w:rFonts w:hint="eastAsia" w:ascii="仿宋" w:hAnsi="仿宋" w:eastAsia="仿宋"/>
          <w:sz w:val="32"/>
          <w:szCs w:val="32"/>
        </w:rPr>
      </w:pPr>
      <w:r>
        <w:rPr>
          <w:rFonts w:hint="eastAsia" w:ascii="仿宋" w:hAnsi="仿宋" w:eastAsia="仿宋"/>
          <w:sz w:val="32"/>
          <w:szCs w:val="32"/>
        </w:rPr>
        <w:t>海南省三亚技师学院（海南省三亚高级技工学校、海南三亚中等职业技术学校）隶属于海南省人力资源和社会保障厅，是从事技能教育，以培养高技能人才为主的技工院校。职业技能竞赛经费项目资金用于师生参加包括世界技能大赛（World Skills Competition，WSC）中国选拔赛和新职业技术技能大赛在内的一类、二类职业技能竞赛。其中，世界技能大赛是迄今全球地位最高、规模最大、影响力最大的职业技能竞赛，被誉为“世界技能奥林匹克”；新职业技术技能大赛是深化“技能人才”建设的重要举措，在推动新产业发展、拓展就业空间的具有重要引领作用。重点支持项目包括美发、烘焙、车身修理、网站设计与开发、电气装置、移动机器人、光电技术、工业机器人系统操作员、电工、农机修理工、电子商务师、餐厅服务等项目。</w:t>
      </w:r>
    </w:p>
    <w:p>
      <w:pPr>
        <w:pStyle w:val="4"/>
        <w:adjustRightInd w:val="0"/>
        <w:snapToGrid w:val="0"/>
        <w:spacing w:before="0" w:beforeAutospacing="0" w:after="0" w:afterAutospacing="0" w:line="560" w:lineRule="exact"/>
        <w:ind w:firstLine="640" w:firstLineChars="200"/>
        <w:rPr>
          <w:rFonts w:hint="eastAsia" w:ascii="楷体" w:hAnsi="楷体" w:eastAsia="楷体"/>
          <w:sz w:val="32"/>
          <w:szCs w:val="32"/>
        </w:rPr>
      </w:pPr>
      <w:r>
        <w:rPr>
          <w:rFonts w:hint="eastAsia" w:ascii="楷体" w:hAnsi="楷体" w:eastAsia="楷体"/>
          <w:sz w:val="32"/>
          <w:szCs w:val="32"/>
        </w:rPr>
        <w:t>（二）项目年度预算绩效目标和绩效指标设定情况</w:t>
      </w:r>
      <w:r>
        <w:rPr>
          <w:rFonts w:ascii="Calibri" w:hAnsi="Calibri" w:eastAsia="楷体" w:cs="Calibri"/>
          <w:sz w:val="32"/>
          <w:szCs w:val="32"/>
        </w:rPr>
        <w:t> </w:t>
      </w:r>
      <w:r>
        <w:rPr>
          <w:rFonts w:hint="eastAsia" w:ascii="楷体" w:hAnsi="楷体" w:eastAsia="楷体"/>
          <w:sz w:val="32"/>
          <w:szCs w:val="32"/>
        </w:rPr>
        <w:t xml:space="preserve"> </w:t>
      </w:r>
    </w:p>
    <w:p>
      <w:pPr>
        <w:pStyle w:val="4"/>
        <w:adjustRightInd w:val="0"/>
        <w:snapToGrid w:val="0"/>
        <w:spacing w:before="0" w:beforeAutospacing="0" w:after="0" w:afterAutospacing="0"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该项目主要用于世界技能大赛及其他竞赛专用设备、专用材料、专家劳务费、培训费及外出训练差旅费等费用。当年预算重点支持的美发、烘焙、车身修理、网站设计与开发、电气装置、移动机器人、光电技术、工业机器人系统操作员、电工、农机修理工、电子商务师、餐厅服务等12个竞赛项目中，除去车身修理、电气装置、烘焙3个竞赛项目，其余9个竞赛项目均</w:t>
      </w:r>
      <w:r>
        <w:rPr>
          <w:rFonts w:hint="eastAsia" w:ascii="仿宋" w:hAnsi="仿宋" w:eastAsia="仿宋"/>
          <w:sz w:val="32"/>
          <w:szCs w:val="32"/>
          <w:lang w:val="en-US" w:eastAsia="zh-CN"/>
        </w:rPr>
        <w:t>已</w:t>
      </w:r>
      <w:r>
        <w:rPr>
          <w:rFonts w:hint="eastAsia" w:ascii="仿宋" w:hAnsi="仿宋" w:eastAsia="仿宋"/>
          <w:sz w:val="32"/>
          <w:szCs w:val="32"/>
        </w:rPr>
        <w:t>完成专用设备和专用材料购置</w:t>
      </w:r>
      <w:r>
        <w:rPr>
          <w:rFonts w:hint="eastAsia" w:ascii="仿宋" w:hAnsi="仿宋" w:eastAsia="仿宋"/>
          <w:sz w:val="32"/>
          <w:szCs w:val="32"/>
          <w:lang w:val="en-US" w:eastAsia="zh-CN"/>
        </w:rPr>
        <w:t>以及相关的专家劳务费、外出训练差旅费训练师生误餐费等相关费用的支出</w:t>
      </w:r>
      <w:r>
        <w:rPr>
          <w:rFonts w:hint="eastAsia" w:ascii="仿宋" w:hAnsi="仿宋" w:eastAsia="仿宋"/>
          <w:sz w:val="32"/>
          <w:szCs w:val="32"/>
        </w:rPr>
        <w:t>。</w:t>
      </w:r>
      <w:r>
        <w:rPr>
          <w:rFonts w:hint="eastAsia" w:ascii="仿宋" w:hAnsi="仿宋" w:eastAsia="仿宋"/>
          <w:sz w:val="32"/>
          <w:szCs w:val="32"/>
          <w:lang w:val="en-US" w:eastAsia="zh-CN"/>
        </w:rPr>
        <w:t xml:space="preserve">同时完成电子竞技专业建设项目的场地装修以及设备采购。   </w:t>
      </w:r>
    </w:p>
    <w:p>
      <w:pPr>
        <w:pStyle w:val="4"/>
        <w:adjustRightInd w:val="0"/>
        <w:snapToGrid w:val="0"/>
        <w:spacing w:before="0" w:beforeAutospacing="0" w:after="0" w:afterAutospacing="0" w:line="560" w:lineRule="exact"/>
        <w:ind w:firstLine="640" w:firstLineChars="200"/>
        <w:rPr>
          <w:rFonts w:hint="eastAsia" w:ascii="黑体" w:hAnsi="黑体" w:eastAsia="黑体"/>
          <w:sz w:val="32"/>
          <w:szCs w:val="32"/>
        </w:rPr>
      </w:pPr>
      <w:r>
        <w:rPr>
          <w:rFonts w:hint="eastAsia" w:ascii="黑体" w:hAnsi="黑体" w:eastAsia="黑体"/>
          <w:sz w:val="32"/>
          <w:szCs w:val="32"/>
        </w:rPr>
        <w:t>二、项目决策及资金使用管理情况</w:t>
      </w:r>
    </w:p>
    <w:p>
      <w:pPr>
        <w:pStyle w:val="4"/>
        <w:adjustRightInd w:val="0"/>
        <w:snapToGrid w:val="0"/>
        <w:spacing w:before="0" w:beforeAutospacing="0" w:after="0" w:afterAutospacing="0" w:line="560" w:lineRule="exact"/>
        <w:ind w:firstLine="643" w:firstLineChars="200"/>
        <w:rPr>
          <w:rFonts w:hint="eastAsia" w:ascii="仿宋" w:hAnsi="仿宋" w:eastAsia="仿宋"/>
          <w:b/>
          <w:bCs/>
          <w:sz w:val="32"/>
          <w:szCs w:val="32"/>
        </w:rPr>
      </w:pPr>
      <w:r>
        <w:rPr>
          <w:rFonts w:hint="eastAsia" w:ascii="仿宋" w:hAnsi="仿宋" w:eastAsia="仿宋"/>
          <w:b/>
          <w:bCs/>
          <w:sz w:val="32"/>
          <w:szCs w:val="32"/>
        </w:rPr>
        <w:t>（一）项目决策情况</w:t>
      </w:r>
    </w:p>
    <w:p>
      <w:pPr>
        <w:pStyle w:val="4"/>
        <w:adjustRightInd w:val="0"/>
        <w:snapToGrid w:val="0"/>
        <w:spacing w:before="0" w:beforeAutospacing="0" w:after="0" w:afterAutospacing="0" w:line="560" w:lineRule="exact"/>
        <w:ind w:firstLine="640" w:firstLineChars="200"/>
        <w:rPr>
          <w:rFonts w:hint="eastAsia" w:ascii="仿宋" w:hAnsi="仿宋" w:eastAsia="仿宋"/>
          <w:sz w:val="32"/>
          <w:szCs w:val="32"/>
        </w:rPr>
      </w:pPr>
      <w:r>
        <w:rPr>
          <w:rFonts w:hint="eastAsia" w:ascii="仿宋" w:hAnsi="仿宋" w:eastAsia="仿宋"/>
          <w:sz w:val="32"/>
          <w:szCs w:val="32"/>
        </w:rPr>
        <w:t>该项目由各专业组根据竞赛需求，向学院竞赛中心提交预算，竞赛中心统一立项，通过学院党政联席会决议后，向海南省人力资源和社会保障厅</w:t>
      </w:r>
      <w:r>
        <w:rPr>
          <w:rFonts w:hint="eastAsia" w:ascii="仿宋" w:hAnsi="仿宋" w:eastAsia="仿宋"/>
          <w:sz w:val="32"/>
          <w:szCs w:val="32"/>
          <w:lang w:val="en-US" w:eastAsia="zh-CN"/>
        </w:rPr>
        <w:t>申请</w:t>
      </w:r>
      <w:r>
        <w:rPr>
          <w:rFonts w:hint="eastAsia" w:ascii="仿宋" w:hAnsi="仿宋" w:eastAsia="仿宋"/>
          <w:sz w:val="32"/>
          <w:szCs w:val="32"/>
        </w:rPr>
        <w:t>，</w:t>
      </w:r>
      <w:r>
        <w:rPr>
          <w:rFonts w:hint="eastAsia" w:ascii="仿宋" w:hAnsi="仿宋" w:eastAsia="仿宋"/>
          <w:sz w:val="32"/>
          <w:szCs w:val="32"/>
          <w:lang w:val="en-US" w:eastAsia="zh-CN"/>
        </w:rPr>
        <w:t>经过审核同意后，学院统一纳入预算管理一体化系统申报</w:t>
      </w:r>
      <w:r>
        <w:rPr>
          <w:rFonts w:hint="eastAsia" w:ascii="仿宋" w:hAnsi="仿宋" w:eastAsia="仿宋"/>
          <w:sz w:val="32"/>
          <w:szCs w:val="32"/>
        </w:rPr>
        <w:t>。</w:t>
      </w:r>
    </w:p>
    <w:p>
      <w:pPr>
        <w:pStyle w:val="4"/>
        <w:numPr>
          <w:ilvl w:val="0"/>
          <w:numId w:val="1"/>
        </w:numPr>
        <w:adjustRightInd w:val="0"/>
        <w:snapToGrid w:val="0"/>
        <w:spacing w:before="0" w:beforeAutospacing="0" w:after="0" w:afterAutospacing="0" w:line="560" w:lineRule="exact"/>
        <w:ind w:firstLine="643" w:firstLineChars="200"/>
        <w:rPr>
          <w:rFonts w:hint="eastAsia" w:ascii="仿宋" w:hAnsi="仿宋" w:eastAsia="仿宋"/>
          <w:b/>
          <w:bCs/>
          <w:color w:val="auto"/>
          <w:sz w:val="32"/>
          <w:szCs w:val="32"/>
        </w:rPr>
      </w:pPr>
      <w:r>
        <w:rPr>
          <w:rFonts w:hint="eastAsia" w:ascii="仿宋" w:hAnsi="仿宋" w:eastAsia="仿宋"/>
          <w:b/>
          <w:bCs/>
          <w:color w:val="auto"/>
          <w:sz w:val="32"/>
          <w:szCs w:val="32"/>
        </w:rPr>
        <w:t>项目资金安排落实、总投入等情况</w:t>
      </w:r>
    </w:p>
    <w:p>
      <w:pPr>
        <w:pStyle w:val="4"/>
        <w:adjustRightInd w:val="0"/>
        <w:snapToGrid w:val="0"/>
        <w:spacing w:before="0" w:beforeAutospacing="0" w:after="0" w:afterAutospacing="0" w:line="560" w:lineRule="exact"/>
        <w:ind w:firstLine="640" w:firstLineChars="200"/>
        <w:rPr>
          <w:rFonts w:hint="default" w:ascii="仿宋" w:hAnsi="仿宋" w:eastAsia="仿宋"/>
          <w:sz w:val="32"/>
          <w:szCs w:val="32"/>
          <w:lang w:val="en-US"/>
        </w:rPr>
      </w:pPr>
      <w:r>
        <w:rPr>
          <w:rFonts w:hint="eastAsia" w:ascii="仿宋" w:hAnsi="仿宋" w:eastAsia="仿宋"/>
          <w:sz w:val="32"/>
          <w:szCs w:val="32"/>
          <w:lang w:val="en-US" w:eastAsia="zh-CN"/>
        </w:rPr>
        <w:t xml:space="preserve"> </w:t>
      </w:r>
      <w:r>
        <w:rPr>
          <w:rFonts w:hint="eastAsia" w:ascii="仿宋" w:hAnsi="仿宋" w:eastAsia="仿宋"/>
          <w:sz w:val="32"/>
          <w:szCs w:val="32"/>
        </w:rPr>
        <w:t>全年</w:t>
      </w:r>
      <w:r>
        <w:rPr>
          <w:rFonts w:hint="eastAsia" w:ascii="仿宋" w:hAnsi="仿宋" w:eastAsia="仿宋"/>
          <w:sz w:val="32"/>
          <w:szCs w:val="32"/>
          <w:lang w:val="en-US" w:eastAsia="zh-CN"/>
        </w:rPr>
        <w:t>财政资金</w:t>
      </w:r>
      <w:r>
        <w:rPr>
          <w:rFonts w:hint="eastAsia" w:ascii="仿宋" w:hAnsi="仿宋" w:eastAsia="仿宋"/>
          <w:sz w:val="32"/>
          <w:szCs w:val="32"/>
        </w:rPr>
        <w:t>预算</w:t>
      </w:r>
      <w:r>
        <w:rPr>
          <w:rFonts w:hint="eastAsia" w:ascii="仿宋" w:hAnsi="仿宋" w:eastAsia="仿宋"/>
          <w:sz w:val="32"/>
          <w:szCs w:val="32"/>
          <w:lang w:val="en-US" w:eastAsia="zh-CN"/>
        </w:rPr>
        <w:t>批复</w:t>
      </w:r>
      <w:r>
        <w:rPr>
          <w:rFonts w:hint="eastAsia" w:ascii="仿宋" w:hAnsi="仿宋" w:eastAsia="仿宋"/>
          <w:sz w:val="32"/>
          <w:szCs w:val="32"/>
        </w:rPr>
        <w:t>数20500000元年</w:t>
      </w:r>
      <w:r>
        <w:rPr>
          <w:rFonts w:hint="eastAsia" w:ascii="仿宋" w:hAnsi="仿宋" w:eastAsia="仿宋"/>
          <w:sz w:val="32"/>
          <w:szCs w:val="32"/>
          <w:lang w:eastAsia="zh-CN"/>
        </w:rPr>
        <w:t>，</w:t>
      </w:r>
      <w:r>
        <w:rPr>
          <w:rFonts w:hint="eastAsia" w:ascii="仿宋" w:hAnsi="仿宋" w:eastAsia="仿宋"/>
          <w:sz w:val="32"/>
          <w:szCs w:val="32"/>
          <w:lang w:val="en-US" w:eastAsia="zh-CN"/>
        </w:rPr>
        <w:t>其中</w:t>
      </w:r>
      <w:r>
        <w:rPr>
          <w:rFonts w:hint="eastAsia" w:ascii="仿宋" w:hAnsi="仿宋" w:eastAsia="仿宋"/>
          <w:sz w:val="32"/>
          <w:szCs w:val="32"/>
        </w:rPr>
        <w:t>初预算</w:t>
      </w:r>
      <w:r>
        <w:rPr>
          <w:rFonts w:hint="eastAsia" w:ascii="仿宋" w:hAnsi="仿宋" w:eastAsia="仿宋"/>
          <w:sz w:val="32"/>
          <w:szCs w:val="32"/>
          <w:lang w:val="en-US" w:eastAsia="zh-CN"/>
        </w:rPr>
        <w:t>批复</w:t>
      </w:r>
      <w:r>
        <w:rPr>
          <w:rFonts w:hint="eastAsia" w:ascii="仿宋" w:hAnsi="仿宋" w:eastAsia="仿宋"/>
          <w:sz w:val="32"/>
          <w:szCs w:val="32"/>
        </w:rPr>
        <w:t>数19430000元，</w:t>
      </w:r>
      <w:r>
        <w:rPr>
          <w:rFonts w:hint="eastAsia" w:ascii="仿宋" w:hAnsi="仿宋" w:eastAsia="仿宋"/>
          <w:sz w:val="32"/>
          <w:szCs w:val="32"/>
          <w:lang w:val="en-US" w:eastAsia="zh-CN"/>
        </w:rPr>
        <w:t>主要用于保障各项竞赛项目需要。年中追加预算4570000元，用于建设</w:t>
      </w:r>
      <w:r>
        <w:rPr>
          <w:rFonts w:hint="eastAsia" w:ascii="仿宋" w:hAnsi="仿宋" w:eastAsia="仿宋"/>
          <w:sz w:val="32"/>
          <w:szCs w:val="32"/>
          <w:lang w:val="en-US" w:eastAsia="zh-CN"/>
        </w:rPr>
        <w:t>电子竞技专业建设项目；调出预算3500000元。</w:t>
      </w:r>
    </w:p>
    <w:p>
      <w:pPr>
        <w:pStyle w:val="4"/>
        <w:adjustRightInd w:val="0"/>
        <w:snapToGrid w:val="0"/>
        <w:spacing w:before="0" w:beforeAutospacing="0" w:after="0" w:afterAutospacing="0" w:line="560" w:lineRule="exact"/>
        <w:ind w:firstLine="643" w:firstLineChars="200"/>
        <w:rPr>
          <w:rFonts w:hint="eastAsia" w:ascii="仿宋" w:hAnsi="仿宋" w:eastAsia="仿宋"/>
          <w:b/>
          <w:bCs/>
          <w:color w:val="auto"/>
          <w:sz w:val="32"/>
          <w:szCs w:val="32"/>
        </w:rPr>
      </w:pPr>
      <w:r>
        <w:rPr>
          <w:rFonts w:hint="eastAsia" w:ascii="仿宋" w:hAnsi="仿宋" w:eastAsia="仿宋"/>
          <w:b/>
          <w:bCs/>
          <w:color w:val="auto"/>
          <w:sz w:val="32"/>
          <w:szCs w:val="32"/>
        </w:rPr>
        <w:t>（三）项目资金实际使用情况</w:t>
      </w:r>
    </w:p>
    <w:p>
      <w:pPr>
        <w:pStyle w:val="4"/>
        <w:adjustRightInd w:val="0"/>
        <w:snapToGrid w:val="0"/>
        <w:spacing w:before="0" w:beforeAutospacing="0" w:after="0" w:afterAutospacing="0"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全年财政资金执行数为15226847.27元，执行率74.28%元，其中专用设备购置支出10317200元，专用材料费支出2616000元，竞赛人员培训费1261800元、差旅费245700元、误餐费507500元，专家劳务费258800元，其他支出19900元。</w:t>
      </w:r>
    </w:p>
    <w:p>
      <w:pPr>
        <w:pStyle w:val="4"/>
        <w:adjustRightInd w:val="0"/>
        <w:snapToGrid w:val="0"/>
        <w:spacing w:before="0" w:beforeAutospacing="0" w:after="0" w:afterAutospacing="0" w:line="560" w:lineRule="exact"/>
        <w:ind w:firstLine="640" w:firstLineChars="200"/>
        <w:rPr>
          <w:rFonts w:hint="eastAsia" w:ascii="黑体" w:hAnsi="黑体" w:eastAsia="黑体"/>
          <w:sz w:val="32"/>
          <w:szCs w:val="32"/>
        </w:rPr>
      </w:pPr>
      <w:r>
        <w:rPr>
          <w:rFonts w:hint="eastAsia" w:ascii="黑体" w:hAnsi="黑体" w:eastAsia="黑体"/>
          <w:sz w:val="32"/>
          <w:szCs w:val="32"/>
        </w:rPr>
        <w:t>三、项目组织实施情况</w:t>
      </w:r>
    </w:p>
    <w:p>
      <w:pPr>
        <w:pStyle w:val="4"/>
        <w:adjustRightInd w:val="0"/>
        <w:snapToGrid w:val="0"/>
        <w:spacing w:before="0" w:beforeAutospacing="0" w:after="0" w:afterAutospacing="0" w:line="560" w:lineRule="exact"/>
        <w:ind w:firstLine="640" w:firstLineChars="200"/>
        <w:rPr>
          <w:rFonts w:hint="eastAsia" w:ascii="楷体" w:hAnsi="楷体" w:eastAsia="楷体"/>
          <w:sz w:val="32"/>
          <w:szCs w:val="32"/>
        </w:rPr>
      </w:pPr>
      <w:r>
        <w:rPr>
          <w:rFonts w:hint="eastAsia" w:ascii="楷体" w:hAnsi="楷体" w:eastAsia="楷体"/>
          <w:sz w:val="32"/>
          <w:szCs w:val="32"/>
        </w:rPr>
        <w:t>（一）项目组织情况</w:t>
      </w:r>
    </w:p>
    <w:p>
      <w:pPr>
        <w:pStyle w:val="4"/>
        <w:adjustRightInd w:val="0"/>
        <w:snapToGrid w:val="0"/>
        <w:spacing w:before="0" w:beforeAutospacing="0" w:after="0" w:afterAutospacing="0" w:line="560" w:lineRule="exact"/>
        <w:ind w:firstLine="640" w:firstLineChars="200"/>
        <w:rPr>
          <w:rFonts w:hint="eastAsia" w:ascii="仿宋" w:hAnsi="仿宋" w:eastAsia="仿宋"/>
          <w:sz w:val="32"/>
          <w:szCs w:val="32"/>
        </w:rPr>
      </w:pPr>
      <w:r>
        <w:rPr>
          <w:rFonts w:hint="eastAsia" w:ascii="仿宋" w:hAnsi="仿宋" w:eastAsia="仿宋"/>
          <w:sz w:val="32"/>
          <w:szCs w:val="32"/>
        </w:rPr>
        <w:t>为用好职业技能竞赛经费项目，学校包括财务资产科、总务科集采中心、竞赛中心等相关部门共同推进项目支出。学校集采中心对项目中涉及设备、耗材按照既定工作流程开展公开招投标，财务资产科确保及时拨付项目经费，保证项目顺利开展。对因赛项变化导致的经费项目调整，数额较大的则按照规定由学校技能竞赛管理中心对项目进行论证并提出申请，经学院党政联席会决议后，再走采购流程。项目的顺利开展，</w:t>
      </w:r>
      <w:r>
        <w:rPr>
          <w:rFonts w:hint="eastAsia" w:ascii="仿宋" w:hAnsi="仿宋" w:eastAsia="仿宋"/>
          <w:sz w:val="32"/>
          <w:szCs w:val="32"/>
          <w:lang w:val="en-US" w:eastAsia="zh-CN"/>
        </w:rPr>
        <w:t>有利</w:t>
      </w:r>
      <w:r>
        <w:rPr>
          <w:rFonts w:hint="eastAsia" w:ascii="仿宋" w:hAnsi="仿宋" w:eastAsia="仿宋"/>
          <w:sz w:val="32"/>
          <w:szCs w:val="32"/>
        </w:rPr>
        <w:t>于竞赛资金的保障和竞赛场地和设备的保障, 在学校营造初浓厚的大赛氛围, 引起了良好反响。</w:t>
      </w:r>
    </w:p>
    <w:p>
      <w:pPr>
        <w:pStyle w:val="4"/>
        <w:adjustRightInd w:val="0"/>
        <w:snapToGrid w:val="0"/>
        <w:spacing w:before="0" w:beforeAutospacing="0" w:after="0" w:afterAutospacing="0" w:line="560" w:lineRule="exact"/>
        <w:ind w:firstLine="640" w:firstLineChars="200"/>
        <w:rPr>
          <w:rFonts w:ascii="楷体" w:hAnsi="楷体" w:eastAsia="楷体"/>
          <w:sz w:val="32"/>
          <w:szCs w:val="32"/>
        </w:rPr>
      </w:pPr>
      <w:r>
        <w:rPr>
          <w:rFonts w:hint="eastAsia" w:ascii="楷体" w:hAnsi="楷体" w:eastAsia="楷体"/>
          <w:sz w:val="32"/>
          <w:szCs w:val="32"/>
        </w:rPr>
        <w:t>（二）项目管理情况</w:t>
      </w:r>
    </w:p>
    <w:p>
      <w:pPr>
        <w:pStyle w:val="4"/>
        <w:adjustRightInd w:val="0"/>
        <w:snapToGrid w:val="0"/>
        <w:spacing w:before="0" w:beforeAutospacing="0" w:after="0" w:afterAutospacing="0" w:line="560" w:lineRule="exact"/>
        <w:ind w:firstLine="640" w:firstLineChars="200"/>
        <w:rPr>
          <w:rFonts w:hint="eastAsia" w:ascii="仿宋" w:hAnsi="仿宋" w:eastAsia="仿宋"/>
          <w:sz w:val="32"/>
          <w:szCs w:val="32"/>
        </w:rPr>
      </w:pPr>
      <w:r>
        <w:rPr>
          <w:rFonts w:hint="eastAsia" w:ascii="仿宋" w:hAnsi="仿宋" w:eastAsia="仿宋"/>
          <w:sz w:val="32"/>
          <w:szCs w:val="32"/>
        </w:rPr>
        <w:t>在项目推进过程中，学校各部门严守制度底线，严格执行国家，尤其是海南省人社厅关于项目经费的使用方针政策，根据上级相关文件、制度，制定并完善我院技能竞赛的相关管理办法和流程。秉持科学严谨和为学生负责的态度，目前正在制定《海南省三亚技师学院技能竞赛管理办法》，由专人负责、专款专用，落实各项工作责任到人，切实发挥项目经费的促进保障作用。</w:t>
      </w:r>
    </w:p>
    <w:p>
      <w:pPr>
        <w:pStyle w:val="4"/>
        <w:adjustRightInd w:val="0"/>
        <w:snapToGrid w:val="0"/>
        <w:spacing w:before="0" w:beforeAutospacing="0" w:after="0" w:afterAutospacing="0" w:line="560" w:lineRule="exact"/>
        <w:ind w:firstLine="640" w:firstLineChars="200"/>
        <w:rPr>
          <w:rFonts w:hint="eastAsia" w:ascii="黑体" w:hAnsi="黑体" w:eastAsia="黑体"/>
          <w:sz w:val="32"/>
          <w:szCs w:val="32"/>
        </w:rPr>
      </w:pPr>
      <w:r>
        <w:rPr>
          <w:rFonts w:hint="eastAsia" w:ascii="黑体" w:hAnsi="黑体" w:eastAsia="黑体"/>
          <w:sz w:val="32"/>
          <w:szCs w:val="32"/>
        </w:rPr>
        <w:t>四、项目绩效情况</w:t>
      </w:r>
    </w:p>
    <w:p>
      <w:pPr>
        <w:pStyle w:val="4"/>
        <w:adjustRightInd w:val="0"/>
        <w:snapToGrid w:val="0"/>
        <w:spacing w:before="0" w:beforeAutospacing="0" w:after="0" w:afterAutospacing="0" w:line="560" w:lineRule="exact"/>
        <w:ind w:firstLine="640" w:firstLineChars="200"/>
        <w:rPr>
          <w:rFonts w:ascii="楷体" w:hAnsi="楷体" w:eastAsia="楷体"/>
          <w:sz w:val="32"/>
          <w:szCs w:val="32"/>
        </w:rPr>
      </w:pPr>
      <w:r>
        <w:rPr>
          <w:rFonts w:hint="eastAsia" w:ascii="楷体" w:hAnsi="楷体" w:eastAsia="楷体"/>
          <w:sz w:val="32"/>
          <w:szCs w:val="32"/>
        </w:rPr>
        <w:t>（一）项目绩效目标完成情况。</w:t>
      </w:r>
    </w:p>
    <w:p>
      <w:pPr>
        <w:pStyle w:val="4"/>
        <w:adjustRightInd w:val="0"/>
        <w:snapToGrid w:val="0"/>
        <w:spacing w:before="0" w:beforeAutospacing="0" w:after="0" w:afterAutospacing="0" w:line="560" w:lineRule="exact"/>
        <w:ind w:firstLine="640" w:firstLineChars="200"/>
        <w:rPr>
          <w:rFonts w:hint="eastAsia" w:ascii="仿宋" w:hAnsi="仿宋" w:eastAsia="仿宋"/>
          <w:sz w:val="32"/>
          <w:szCs w:val="32"/>
        </w:rPr>
      </w:pPr>
      <w:r>
        <w:rPr>
          <w:rFonts w:hint="eastAsia" w:ascii="仿宋" w:hAnsi="仿宋" w:eastAsia="仿宋"/>
          <w:sz w:val="32"/>
          <w:szCs w:val="32"/>
        </w:rPr>
        <w:t>将项目实际完成情况与申报的绩效目标对比，从项目的经济性、效率性、有效性和可持续性等方面对项目绩效进行量化、具体分析。</w:t>
      </w:r>
    </w:p>
    <w:p>
      <w:pPr>
        <w:pStyle w:val="4"/>
        <w:adjustRightInd w:val="0"/>
        <w:snapToGrid w:val="0"/>
        <w:spacing w:before="0" w:beforeAutospacing="0" w:after="0" w:afterAutospacing="0" w:line="560" w:lineRule="exact"/>
        <w:ind w:firstLine="640" w:firstLineChars="200"/>
        <w:rPr>
          <w:rFonts w:hint="eastAsia" w:ascii="仿宋" w:hAnsi="仿宋" w:eastAsia="仿宋"/>
          <w:sz w:val="32"/>
          <w:szCs w:val="32"/>
        </w:rPr>
      </w:pPr>
      <w:r>
        <w:rPr>
          <w:rFonts w:hint="eastAsia" w:ascii="仿宋" w:hAnsi="仿宋" w:eastAsia="仿宋"/>
          <w:sz w:val="32"/>
          <w:szCs w:val="32"/>
        </w:rPr>
        <w:t>1.项目的经济性。项目启动后，我院根据项目成本变化实行事前控制、事中监督和事后控制，实现原定目标。各个竞赛项目经系部研究后，向学校技竞中心提出立项，并成立教练团队本着节约和提升资金使用效率的原则对项目经费使用做出规划并编制初步预算。技竞中心在全校范围内，结合各项目开展情况对预算进行合理调配。经费经第三方评审后方可使用。技竞中心安排专人对项目的设备、耗材建立台账进行管理、监督。</w:t>
      </w:r>
    </w:p>
    <w:p>
      <w:pPr>
        <w:pStyle w:val="4"/>
        <w:adjustRightInd w:val="0"/>
        <w:snapToGrid w:val="0"/>
        <w:spacing w:before="0" w:beforeAutospacing="0" w:after="0" w:afterAutospacing="0" w:line="560" w:lineRule="exact"/>
        <w:ind w:firstLine="640" w:firstLineChars="200"/>
        <w:rPr>
          <w:rFonts w:hint="eastAsia" w:ascii="仿宋" w:hAnsi="仿宋" w:eastAsia="仿宋"/>
          <w:sz w:val="32"/>
          <w:szCs w:val="32"/>
        </w:rPr>
      </w:pPr>
      <w:r>
        <w:rPr>
          <w:rFonts w:hint="eastAsia" w:ascii="仿宋" w:hAnsi="仿宋" w:eastAsia="仿宋"/>
          <w:sz w:val="32"/>
          <w:szCs w:val="32"/>
        </w:rPr>
        <w:t>2.项目的效率性。为实现项目的效率性，我院认真学习研究“财政部 人力资源社会保障部关于印发《就业补助资金管理办法》的通知”的相关政策规定，熟悉资金补助程序，设立专门机构和配备专职人员具体负责本资金的管理工作，落实责任到人，保障每一笔资金均用在刀尖刀刃上。</w:t>
      </w:r>
    </w:p>
    <w:p>
      <w:pPr>
        <w:pStyle w:val="4"/>
        <w:adjustRightInd w:val="0"/>
        <w:snapToGrid w:val="0"/>
        <w:spacing w:before="0" w:beforeAutospacing="0" w:after="0" w:afterAutospacing="0" w:line="560" w:lineRule="exact"/>
        <w:ind w:firstLine="640" w:firstLineChars="200"/>
        <w:rPr>
          <w:rFonts w:hint="eastAsia" w:ascii="仿宋" w:hAnsi="仿宋" w:eastAsia="仿宋"/>
          <w:sz w:val="32"/>
          <w:szCs w:val="32"/>
        </w:rPr>
      </w:pPr>
      <w:r>
        <w:rPr>
          <w:rFonts w:hint="eastAsia" w:ascii="仿宋" w:hAnsi="仿宋" w:eastAsia="仿宋"/>
          <w:sz w:val="32"/>
          <w:szCs w:val="32"/>
        </w:rPr>
        <w:t>3.项目的有效性。技能大赛是培养和发现技能人才的有效途径，以赛促学，以赛促教，定期举办技能大赛，对促进学生技能教育又好又快发展有着十分重要的意义。让技能竞赛融入校园，融入社会，提升学生、教师及社会人员整体技能水平，以技能回馈社会、为自贸港建设添砖加瓦。学院方面：做到合理使用补助资金，不虚报乱报补助资金以及挤占、挪用、滞留补助资金等行为，制定并完善相关监管机制。2022年教师参加国家技能大赛获得二等奖1项、在省级技能大赛中获得金奖3项、银奖2项、铜奖2项，优胜奖7项。组织学生参加国家技能大赛获得金奖2项、铜奖2项、二等奖2项、省级技能大赛中获得金奖2项、银奖1项、铜奖2张、优胜奖17项。</w:t>
      </w:r>
    </w:p>
    <w:p>
      <w:pPr>
        <w:pStyle w:val="4"/>
        <w:adjustRightInd w:val="0"/>
        <w:snapToGrid w:val="0"/>
        <w:spacing w:before="0" w:beforeAutospacing="0" w:after="0" w:afterAutospacing="0"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4.项目的可持续性。本项目编入部门预算，每年根据学院参与的技能大赛项目申报金额。另外由技能竞赛管理中心负责牵头，各系部根据所报内容完成该项目，保证项目的稳定性、持续性。</w:t>
      </w:r>
    </w:p>
    <w:p>
      <w:pPr>
        <w:pStyle w:val="4"/>
        <w:adjustRightInd w:val="0"/>
        <w:snapToGrid w:val="0"/>
        <w:spacing w:before="0" w:beforeAutospacing="0" w:after="0" w:afterAutospacing="0" w:line="560" w:lineRule="exact"/>
        <w:ind w:firstLine="640" w:firstLineChars="200"/>
        <w:rPr>
          <w:rFonts w:hint="eastAsia" w:ascii="楷体" w:hAnsi="楷体" w:eastAsia="楷体"/>
          <w:sz w:val="32"/>
          <w:szCs w:val="32"/>
        </w:rPr>
      </w:pPr>
      <w:r>
        <w:rPr>
          <w:rFonts w:hint="eastAsia" w:ascii="楷体" w:hAnsi="楷体" w:eastAsia="楷体"/>
          <w:sz w:val="32"/>
          <w:szCs w:val="32"/>
        </w:rPr>
        <w:t>（二）项目绩效目标未完成情况及原因分析</w:t>
      </w:r>
    </w:p>
    <w:p>
      <w:pPr>
        <w:pStyle w:val="4"/>
        <w:adjustRightInd w:val="0"/>
        <w:snapToGrid w:val="0"/>
        <w:spacing w:before="0" w:beforeAutospacing="0" w:after="0" w:afterAutospacing="0" w:line="560" w:lineRule="exact"/>
        <w:ind w:firstLine="640" w:firstLineChars="200"/>
        <w:rPr>
          <w:rFonts w:hint="eastAsia" w:ascii="仿宋" w:hAnsi="仿宋" w:eastAsia="仿宋"/>
          <w:sz w:val="32"/>
          <w:szCs w:val="32"/>
        </w:rPr>
      </w:pPr>
      <w:r>
        <w:rPr>
          <w:rFonts w:hint="eastAsia" w:ascii="仿宋" w:hAnsi="仿宋" w:eastAsia="仿宋"/>
          <w:sz w:val="32"/>
          <w:szCs w:val="32"/>
        </w:rPr>
        <w:t>当年预算重点支持的美发、烘焙、车身修理、网站设计与开发、电气装置、移动机器人、光电技术、工业机器人系统操作员、电工、农机修理工、电子商务师、餐厅服务等12个竞赛项目中，车身修理、电气装置、烘焙3个竞赛项目未完成资金支付。专家劳务、培训费及外出训练差率费未完成支付。</w:t>
      </w:r>
    </w:p>
    <w:p>
      <w:pPr>
        <w:pStyle w:val="4"/>
        <w:adjustRightInd w:val="0"/>
        <w:snapToGrid w:val="0"/>
        <w:spacing w:before="0" w:beforeAutospacing="0" w:after="0" w:afterAutospacing="0" w:line="560" w:lineRule="exact"/>
        <w:ind w:firstLine="640" w:firstLineChars="200"/>
        <w:rPr>
          <w:rFonts w:hint="eastAsia" w:ascii="仿宋" w:hAnsi="仿宋" w:eastAsia="仿宋"/>
          <w:sz w:val="32"/>
          <w:szCs w:val="32"/>
        </w:rPr>
      </w:pPr>
      <w:r>
        <w:rPr>
          <w:rFonts w:hint="eastAsia" w:ascii="仿宋" w:hAnsi="仿宋" w:eastAsia="仿宋"/>
          <w:sz w:val="32"/>
          <w:szCs w:val="32"/>
        </w:rPr>
        <w:t>主要原因是受到政府疫情管控措施影响，导致相关项目的采购活动被迫中止，采购日期不断延后。在设备、耗材交付不到位的情况下，学校无法进行项目验收和资金支付。同样原因，既定的人员外出、专家聘请等交流活动也无法如期开展，最终导致相关费用未在年度内完成支付。</w:t>
      </w:r>
    </w:p>
    <w:p>
      <w:pPr>
        <w:pStyle w:val="4"/>
        <w:adjustRightInd w:val="0"/>
        <w:snapToGrid w:val="0"/>
        <w:spacing w:before="0" w:beforeAutospacing="0" w:after="0" w:afterAutospacing="0" w:line="560" w:lineRule="exact"/>
        <w:ind w:firstLine="640" w:firstLineChars="200"/>
        <w:rPr>
          <w:rFonts w:hint="eastAsia" w:ascii="黑体" w:hAnsi="黑体" w:eastAsia="黑体"/>
          <w:sz w:val="32"/>
          <w:szCs w:val="32"/>
        </w:rPr>
      </w:pPr>
      <w:r>
        <w:rPr>
          <w:rFonts w:hint="eastAsia" w:ascii="黑体" w:hAnsi="黑体" w:eastAsia="黑体"/>
          <w:sz w:val="32"/>
          <w:szCs w:val="32"/>
        </w:rPr>
        <w:t>五、其他需要说明的问题</w:t>
      </w:r>
    </w:p>
    <w:p>
      <w:pPr>
        <w:pStyle w:val="4"/>
        <w:adjustRightInd w:val="0"/>
        <w:snapToGrid w:val="0"/>
        <w:spacing w:before="0" w:beforeAutospacing="0" w:after="0" w:afterAutospacing="0" w:line="560" w:lineRule="exact"/>
        <w:ind w:firstLine="640" w:firstLineChars="200"/>
        <w:rPr>
          <w:rFonts w:hint="eastAsia" w:ascii="楷体" w:hAnsi="楷体" w:eastAsia="楷体"/>
          <w:sz w:val="32"/>
          <w:szCs w:val="32"/>
        </w:rPr>
      </w:pPr>
      <w:r>
        <w:rPr>
          <w:rFonts w:hint="eastAsia" w:ascii="楷体" w:hAnsi="楷体" w:eastAsia="楷体"/>
          <w:sz w:val="32"/>
          <w:szCs w:val="32"/>
        </w:rPr>
        <w:t>（一）后续工作计划</w:t>
      </w:r>
    </w:p>
    <w:p>
      <w:pPr>
        <w:pStyle w:val="4"/>
        <w:adjustRightInd w:val="0"/>
        <w:snapToGrid w:val="0"/>
        <w:spacing w:before="0" w:beforeAutospacing="0" w:after="0" w:afterAutospacing="0" w:line="560" w:lineRule="exact"/>
        <w:ind w:firstLine="640" w:firstLineChars="200"/>
        <w:rPr>
          <w:rFonts w:hint="eastAsia" w:ascii="仿宋" w:hAnsi="仿宋" w:eastAsia="仿宋"/>
          <w:sz w:val="32"/>
          <w:szCs w:val="32"/>
        </w:rPr>
      </w:pPr>
      <w:r>
        <w:rPr>
          <w:rFonts w:hint="eastAsia" w:ascii="仿宋" w:hAnsi="仿宋" w:eastAsia="仿宋"/>
          <w:sz w:val="32"/>
          <w:szCs w:val="32"/>
        </w:rPr>
        <w:t>尽管受到疫情影响，学校在技能竞赛工作方面仍然顶住压力，取得了一定成绩。接下来，学校将继续围绕“以赛促学,以赛促教,以赛促改”的目标，持续推进技能竞赛工作，重点对在竞赛过程中涌现出来的优秀老师、教练、参赛选手的先进事迹进行宣传，对竞赛中取得的优异成果进行广泛推广，使学校的技能竞赛工作步入新高度，促进学校人才培养工作在上新台阶。</w:t>
      </w:r>
    </w:p>
    <w:p>
      <w:pPr>
        <w:pStyle w:val="4"/>
        <w:adjustRightInd w:val="0"/>
        <w:snapToGrid w:val="0"/>
        <w:spacing w:before="0" w:beforeAutospacing="0" w:after="0" w:afterAutospacing="0" w:line="560" w:lineRule="exact"/>
        <w:ind w:firstLine="640" w:firstLineChars="200"/>
        <w:rPr>
          <w:rFonts w:hint="eastAsia" w:ascii="楷体" w:hAnsi="楷体" w:eastAsia="楷体"/>
          <w:sz w:val="32"/>
          <w:szCs w:val="32"/>
        </w:rPr>
      </w:pPr>
      <w:r>
        <w:rPr>
          <w:rFonts w:hint="eastAsia" w:ascii="楷体" w:hAnsi="楷体" w:eastAsia="楷体"/>
          <w:sz w:val="32"/>
          <w:szCs w:val="32"/>
        </w:rPr>
        <w:t>（二）主要经验及做法、存在问题和建议</w:t>
      </w:r>
    </w:p>
    <w:p>
      <w:pPr>
        <w:pStyle w:val="4"/>
        <w:adjustRightInd w:val="0"/>
        <w:snapToGrid w:val="0"/>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为确保职业技能竞赛经费项目顺利推进，提高项目实施效率和保障项目质量，把控项目风险，我院积极落实上级指示，压实相关部门的责任。将项目推进划分为申报准备、项目启动、全面推进和评估验收四个阶段，明确每个阶段的目标和任务，如启动阶段要根据工作实施方案，组织招标、合作伙伴签约等事项，开展项目建设；全面推进阶段要全面开展2022-2023年度各级各类技能大赛项目建设内容等。</w:t>
      </w:r>
    </w:p>
    <w:p>
      <w:pPr>
        <w:pStyle w:val="4"/>
        <w:adjustRightInd w:val="0"/>
        <w:snapToGrid w:val="0"/>
        <w:spacing w:before="720" w:beforeLines="300" w:beforeAutospacing="0" w:after="0" w:afterAutospacing="0" w:line="560" w:lineRule="exact"/>
        <w:jc w:val="right"/>
        <w:rPr>
          <w:rFonts w:ascii="仿宋" w:hAnsi="仿宋" w:eastAsia="仿宋"/>
          <w:sz w:val="32"/>
          <w:szCs w:val="32"/>
        </w:rPr>
      </w:pPr>
      <w:r>
        <w:rPr>
          <w:rFonts w:hint="eastAsia" w:ascii="仿宋" w:hAnsi="仿宋" w:eastAsia="仿宋"/>
          <w:sz w:val="32"/>
          <w:szCs w:val="32"/>
        </w:rPr>
        <w:t>海南省三亚技师学院</w:t>
      </w:r>
    </w:p>
    <w:p>
      <w:pPr>
        <w:pStyle w:val="4"/>
        <w:adjustRightInd w:val="0"/>
        <w:snapToGrid w:val="0"/>
        <w:spacing w:before="0" w:beforeAutospacing="0" w:after="0" w:afterAutospacing="0" w:line="560" w:lineRule="exact"/>
        <w:jc w:val="right"/>
        <w:rPr>
          <w:rFonts w:hint="eastAsia" w:ascii="仿宋" w:hAnsi="仿宋" w:eastAsia="仿宋"/>
          <w:sz w:val="32"/>
          <w:szCs w:val="32"/>
        </w:rPr>
      </w:pPr>
      <w:r>
        <w:rPr>
          <w:rFonts w:ascii="仿宋" w:hAnsi="仿宋" w:eastAsia="仿宋"/>
          <w:sz w:val="32"/>
          <w:szCs w:val="32"/>
        </w:rPr>
        <w:t>2023年5月</w:t>
      </w:r>
      <w:r>
        <w:rPr>
          <w:rFonts w:hint="eastAsia" w:ascii="仿宋" w:hAnsi="仿宋" w:eastAsia="仿宋"/>
          <w:sz w:val="32"/>
          <w:szCs w:val="32"/>
          <w:lang w:val="en-US" w:eastAsia="zh-CN"/>
        </w:rPr>
        <w:t>31</w:t>
      </w:r>
      <w:bookmarkStart w:id="0" w:name="_GoBack"/>
      <w:bookmarkEnd w:id="0"/>
      <w:r>
        <w:rPr>
          <w:rFonts w:ascii="仿宋" w:hAnsi="仿宋" w:eastAsia="仿宋"/>
          <w:sz w:val="32"/>
          <w:szCs w:val="32"/>
        </w:rPr>
        <w:t>日</w:t>
      </w:r>
    </w:p>
    <w:sectPr>
      <w:headerReference r:id="rId3" w:type="default"/>
      <w:footerReference r:id="rId4" w:type="default"/>
      <w:pgSz w:w="11906" w:h="16838"/>
      <w:pgMar w:top="1440" w:right="1800" w:bottom="1440" w:left="1800" w:header="851" w:footer="624" w:gutter="0"/>
      <w:pgNumType w:fmt="numberInDash"/>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5973264"/>
      <w:docPartObj>
        <w:docPartGallery w:val="autotext"/>
      </w:docPartObj>
    </w:sdtPr>
    <w:sdtEndPr>
      <w:rPr>
        <w:sz w:val="28"/>
      </w:rPr>
    </w:sdtEndPr>
    <w:sdtContent>
      <w:p>
        <w:pPr>
          <w:pStyle w:val="2"/>
          <w:jc w:val="center"/>
          <w:rPr>
            <w:sz w:val="28"/>
          </w:rPr>
        </w:pPr>
        <w:r>
          <w:rPr>
            <w:sz w:val="28"/>
          </w:rPr>
          <w:fldChar w:fldCharType="begin"/>
        </w:r>
        <w:r>
          <w:rPr>
            <w:sz w:val="28"/>
          </w:rPr>
          <w:instrText xml:space="preserve">PAGE   \* MERGEFORMAT</w:instrText>
        </w:r>
        <w:r>
          <w:rPr>
            <w:sz w:val="28"/>
          </w:rPr>
          <w:fldChar w:fldCharType="separate"/>
        </w:r>
        <w:r>
          <w:rPr>
            <w:sz w:val="28"/>
            <w:lang w:val="zh-CN"/>
          </w:rPr>
          <w:t>2</w:t>
        </w:r>
        <w:r>
          <w:rPr>
            <w:sz w:val="28"/>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B03CC9"/>
    <w:multiLevelType w:val="singleLevel"/>
    <w:tmpl w:val="D7B03CC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noPunctuationKerning w:val="1"/>
  <w:characterSpacingControl w:val="doNotCompress"/>
  <w:compat>
    <w:useFELayou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docVars>
    <w:docVar w:name="commondata" w:val="eyJoZGlkIjoiMTg1NmJkNGJmYmY2NGEyMDE2ZjA0NzAwYzFjZmQ1OTAifQ=="/>
  </w:docVars>
  <w:rsids>
    <w:rsidRoot w:val="00D67B2A"/>
    <w:rsid w:val="000B1350"/>
    <w:rsid w:val="00153FD2"/>
    <w:rsid w:val="00287A2C"/>
    <w:rsid w:val="002C69FD"/>
    <w:rsid w:val="003063FD"/>
    <w:rsid w:val="004C370C"/>
    <w:rsid w:val="00787D64"/>
    <w:rsid w:val="00D67B2A"/>
    <w:rsid w:val="00F453A2"/>
    <w:rsid w:val="2C46602B"/>
    <w:rsid w:val="42260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spacing w:before="100" w:beforeAutospacing="1" w:after="100" w:afterAutospacing="1"/>
    </w:pPr>
  </w:style>
  <w:style w:type="character" w:styleId="7">
    <w:name w:val="Strong"/>
    <w:basedOn w:val="6"/>
    <w:qFormat/>
    <w:uiPriority w:val="0"/>
    <w:rPr>
      <w:b/>
      <w:bCs/>
    </w:rPr>
  </w:style>
  <w:style w:type="paragraph" w:customStyle="1" w:styleId="8">
    <w:name w:val="msonormal"/>
    <w:basedOn w:val="1"/>
    <w:qFormat/>
    <w:uiPriority w:val="0"/>
    <w:pPr>
      <w:spacing w:before="100" w:beforeAutospacing="1" w:after="100" w:afterAutospacing="1"/>
    </w:pPr>
  </w:style>
  <w:style w:type="character" w:customStyle="1" w:styleId="9">
    <w:name w:val="页眉 字符"/>
    <w:basedOn w:val="6"/>
    <w:link w:val="3"/>
    <w:locked/>
    <w:uiPriority w:val="99"/>
    <w:rPr>
      <w:rFonts w:hint="eastAsia" w:ascii="宋体" w:hAnsi="宋体" w:eastAsia="宋体" w:cs="宋体"/>
      <w:sz w:val="18"/>
      <w:szCs w:val="18"/>
    </w:rPr>
  </w:style>
  <w:style w:type="character" w:customStyle="1" w:styleId="10">
    <w:name w:val="页脚 字符"/>
    <w:basedOn w:val="6"/>
    <w:link w:val="2"/>
    <w:locked/>
    <w:uiPriority w:val="99"/>
    <w:rPr>
      <w:rFonts w:hint="eastAsia" w:ascii="宋体" w:hAnsi="宋体"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2686</Words>
  <Characters>2781</Characters>
  <Lines>22</Lines>
  <Paragraphs>6</Paragraphs>
  <TotalTime>17</TotalTime>
  <ScaleCrop>false</ScaleCrop>
  <LinksUpToDate>false</LinksUpToDate>
  <CharactersWithSpaces>2798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2023-05-15T02:37:00Z</dcterms:created>
  <dc:creator>18584</dc:creator>
  <cp:lastModifiedBy>Administrator</cp:lastModifiedBy>
  <dcterms:modified xsi:type="dcterms:W3CDTF">2023-05-16T02:55:49Z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5B470A85FD6D424387AB5FD8FC16A5B1_12</vt:lpwstr>
  </property>
</Properties>
</file>